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FE26" w14:textId="73A88C0B" w:rsidR="00865DCF" w:rsidRPr="001C7AFD" w:rsidRDefault="0004740D" w:rsidP="00C1715F">
      <w:pPr>
        <w:jc w:val="center"/>
        <w:rPr>
          <w:color w:val="2E74B5" w:themeColor="accent1" w:themeShade="BF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39E3FDA" wp14:editId="7B6754A5">
            <wp:simplePos x="0" y="0"/>
            <wp:positionH relativeFrom="column">
              <wp:posOffset>4617085</wp:posOffset>
            </wp:positionH>
            <wp:positionV relativeFrom="paragraph">
              <wp:posOffset>-571500</wp:posOffset>
            </wp:positionV>
            <wp:extent cx="1739900" cy="741435"/>
            <wp:effectExtent l="0" t="0" r="0" b="1905"/>
            <wp:wrapNone/>
            <wp:docPr id="1" name="Image 1" descr="Chimie ParisTech P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mie ParisTech PS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5F" w:rsidRPr="001C7AFD">
        <w:rPr>
          <w:color w:val="2E74B5" w:themeColor="accent1" w:themeShade="BF"/>
          <w:sz w:val="28"/>
        </w:rPr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  <w:r w:rsidRPr="0004740D">
        <w:rPr>
          <w:noProof/>
          <w:lang w:eastAsia="fr-FR"/>
        </w:rPr>
        <w:t xml:space="preserve"> </w:t>
      </w:r>
    </w:p>
    <w:p w14:paraId="11D88742" w14:textId="6F5D230F" w:rsidR="005579C5" w:rsidRDefault="00C1715F" w:rsidP="00C1715F">
      <w:pPr>
        <w:jc w:val="center"/>
        <w:rPr>
          <w:b/>
          <w:color w:val="2E74B5" w:themeColor="accent1" w:themeShade="BF"/>
          <w:sz w:val="28"/>
        </w:rPr>
      </w:pPr>
      <w:bookmarkStart w:id="0" w:name="_Hlk123819775"/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  <w:bookmarkEnd w:id="0"/>
    </w:p>
    <w:p w14:paraId="6316FA6F" w14:textId="77777777" w:rsidR="00D86288" w:rsidRPr="005579C5" w:rsidRDefault="00D86288" w:rsidP="00C1715F">
      <w:pPr>
        <w:jc w:val="center"/>
        <w:rPr>
          <w:b/>
          <w:i/>
          <w:color w:val="FF0000"/>
          <w:sz w:val="28"/>
        </w:rPr>
      </w:pPr>
    </w:p>
    <w:tbl>
      <w:tblPr>
        <w:tblStyle w:val="Grilledutableau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98"/>
        <w:gridCol w:w="4258"/>
        <w:gridCol w:w="273"/>
      </w:tblGrid>
      <w:tr w:rsidR="00C1715F" w14:paraId="2A1A2A36" w14:textId="77777777" w:rsidTr="00CF1DCD">
        <w:tc>
          <w:tcPr>
            <w:tcW w:w="5234" w:type="dxa"/>
            <w:gridSpan w:val="2"/>
          </w:tcPr>
          <w:p w14:paraId="57E3558B" w14:textId="77777777" w:rsidR="00C1715F" w:rsidRPr="005E3D99" w:rsidRDefault="00C1715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Lieu</w:t>
            </w:r>
          </w:p>
          <w:p w14:paraId="4755A37E" w14:textId="77777777" w:rsidR="00C1715F" w:rsidRDefault="000E3CBF">
            <w:r>
              <w:t>Chimie ParisTech</w:t>
            </w:r>
            <w:r w:rsidR="00C1715F">
              <w:tab/>
            </w:r>
          </w:p>
          <w:p w14:paraId="2964D1ED" w14:textId="3492CC85" w:rsidR="00AA2747" w:rsidRDefault="00AA2747">
            <w:r>
              <w:t>11, Rue Pierre et Marie Curie</w:t>
            </w:r>
          </w:p>
          <w:p w14:paraId="3B6DE520" w14:textId="7330FAB0" w:rsidR="00C1715F" w:rsidRDefault="00AA2747">
            <w:r>
              <w:t xml:space="preserve">75005 </w:t>
            </w:r>
            <w:r w:rsidR="00C1715F">
              <w:t>P</w:t>
            </w:r>
            <w:r>
              <w:t>aris</w:t>
            </w:r>
          </w:p>
          <w:p w14:paraId="01FBD9FD" w14:textId="77777777" w:rsidR="002F10C8" w:rsidRDefault="009503A3">
            <w:hyperlink r:id="rId6" w:history="1">
              <w:r w:rsidRPr="00FB04FD">
                <w:rPr>
                  <w:rStyle w:val="Lienhypertexte"/>
                </w:rPr>
                <w:t>https://www.chimieparistech.psl.eu/</w:t>
              </w:r>
            </w:hyperlink>
          </w:p>
          <w:p w14:paraId="35E67ED3" w14:textId="77777777" w:rsidR="009503A3" w:rsidRDefault="009503A3"/>
          <w:p w14:paraId="669C3C2B" w14:textId="77777777" w:rsidR="00FC24D2" w:rsidRDefault="00FC24D2"/>
        </w:tc>
        <w:tc>
          <w:tcPr>
            <w:tcW w:w="4531" w:type="dxa"/>
            <w:gridSpan w:val="2"/>
          </w:tcPr>
          <w:p w14:paraId="12BD3476" w14:textId="77777777" w:rsidR="00C1715F" w:rsidRPr="005E3D99" w:rsidRDefault="00C1715F" w:rsidP="00C1715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Dates </w:t>
            </w:r>
          </w:p>
          <w:p w14:paraId="7F92497D" w14:textId="511ABCD4" w:rsidR="00C1715F" w:rsidRDefault="003A7530" w:rsidP="002F10C8">
            <w:pPr>
              <w:jc w:val="right"/>
            </w:pPr>
            <w:r>
              <w:t>3-6 juin 2025</w:t>
            </w:r>
          </w:p>
        </w:tc>
      </w:tr>
      <w:tr w:rsidR="00C1715F" w14:paraId="629CB4C4" w14:textId="77777777" w:rsidTr="00CF1DCD">
        <w:trPr>
          <w:gridAfter w:val="1"/>
          <w:wAfter w:w="273" w:type="dxa"/>
        </w:trPr>
        <w:tc>
          <w:tcPr>
            <w:tcW w:w="4536" w:type="dxa"/>
          </w:tcPr>
          <w:p w14:paraId="48D21F60" w14:textId="77777777" w:rsidR="00C1715F" w:rsidRPr="005E3D99" w:rsidRDefault="00C1715F" w:rsidP="005901B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Intervenants</w:t>
            </w:r>
          </w:p>
          <w:p w14:paraId="2451911A" w14:textId="19C5E5BC" w:rsidR="00DE63B5" w:rsidRDefault="00DE63B5" w:rsidP="00C1715F">
            <w:r>
              <w:t>Romain Dagn</w:t>
            </w:r>
            <w:r w:rsidR="00CF1DCD">
              <w:t>e</w:t>
            </w:r>
            <w:r>
              <w:t>lie (CEA</w:t>
            </w:r>
            <w:r w:rsidR="00CF1DCD">
              <w:t>, Université Paris-</w:t>
            </w:r>
            <w:r>
              <w:t xml:space="preserve"> Saclay)</w:t>
            </w:r>
          </w:p>
          <w:p w14:paraId="153B7BBC" w14:textId="28CB8B6E" w:rsidR="00DE63B5" w:rsidRDefault="00DE63B5" w:rsidP="00C1715F">
            <w:r>
              <w:t>Annette Hofmann (</w:t>
            </w:r>
            <w:r w:rsidR="00D01560" w:rsidRPr="00D01560">
              <w:t>LOG - Univ. Lille</w:t>
            </w:r>
            <w:r>
              <w:t>)</w:t>
            </w:r>
          </w:p>
          <w:p w14:paraId="6E707A09" w14:textId="66D84B12" w:rsidR="00C1715F" w:rsidRDefault="00C1715F" w:rsidP="00C1715F">
            <w:r>
              <w:t>G</w:t>
            </w:r>
            <w:r w:rsidR="00DE63B5">
              <w:t>régory</w:t>
            </w:r>
            <w:r>
              <w:t xml:space="preserve"> Lefèvre (</w:t>
            </w:r>
            <w:r w:rsidR="00530F6B">
              <w:t xml:space="preserve">IRCP - </w:t>
            </w:r>
            <w:r>
              <w:t>Chimie ParisTech)</w:t>
            </w:r>
          </w:p>
          <w:p w14:paraId="5762ED53" w14:textId="123D0DEA" w:rsidR="00C1715F" w:rsidRDefault="00C1715F" w:rsidP="00C1715F">
            <w:r>
              <w:t>R</w:t>
            </w:r>
            <w:r w:rsidR="00DE63B5">
              <w:t>émi</w:t>
            </w:r>
            <w:r>
              <w:t xml:space="preserve"> Marsac (</w:t>
            </w:r>
            <w:r w:rsidR="00530F6B">
              <w:t>IPGP</w:t>
            </w:r>
            <w:r>
              <w:t>)</w:t>
            </w:r>
          </w:p>
        </w:tc>
        <w:tc>
          <w:tcPr>
            <w:tcW w:w="4956" w:type="dxa"/>
            <w:gridSpan w:val="2"/>
          </w:tcPr>
          <w:p w14:paraId="09377979" w14:textId="77777777" w:rsidR="00C1715F" w:rsidRPr="005E3D99" w:rsidRDefault="00C1715F" w:rsidP="005901B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Public concerné</w:t>
            </w:r>
          </w:p>
          <w:p w14:paraId="303BD526" w14:textId="77777777" w:rsidR="00C1715F" w:rsidRDefault="00C1715F" w:rsidP="001C1517">
            <w:pPr>
              <w:ind w:left="323"/>
              <w:jc w:val="right"/>
            </w:pPr>
            <w:r>
              <w:t xml:space="preserve">Chercheurs et doctorants souhaitant se former </w:t>
            </w:r>
          </w:p>
          <w:p w14:paraId="026CE382" w14:textId="77777777" w:rsidR="00C1715F" w:rsidRDefault="00C1715F" w:rsidP="001C1517">
            <w:pPr>
              <w:ind w:left="323"/>
              <w:jc w:val="right"/>
            </w:pPr>
            <w:r>
              <w:t>ou se perfectionne</w:t>
            </w:r>
            <w:r w:rsidR="00682009">
              <w:t>r sur les calculs de spéciation</w:t>
            </w:r>
          </w:p>
          <w:p w14:paraId="26609765" w14:textId="77777777" w:rsidR="007C1871" w:rsidRPr="001E5B00" w:rsidRDefault="0039691E" w:rsidP="001C1517">
            <w:pPr>
              <w:ind w:left="323"/>
              <w:jc w:val="right"/>
              <w:rPr>
                <w:i/>
                <w:iCs/>
              </w:rPr>
            </w:pPr>
            <w:r w:rsidRPr="001E5B00">
              <w:rPr>
                <w:i/>
                <w:iCs/>
              </w:rPr>
              <w:t>La connaissance des bases de la chimie en solution est requise</w:t>
            </w:r>
          </w:p>
        </w:tc>
      </w:tr>
    </w:tbl>
    <w:p w14:paraId="30CFA117" w14:textId="77777777" w:rsidR="00C1715F" w:rsidRDefault="00C1715F" w:rsidP="00C1715F">
      <w:pPr>
        <w:spacing w:after="0"/>
      </w:pPr>
    </w:p>
    <w:p w14:paraId="2863B9B0" w14:textId="77777777" w:rsidR="00C1715F" w:rsidRDefault="00C1715F" w:rsidP="00C1715F">
      <w:pPr>
        <w:spacing w:after="0"/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042"/>
      </w:tblGrid>
      <w:tr w:rsidR="00C1715F" w14:paraId="0A3CEE29" w14:textId="77777777" w:rsidTr="00A12168">
        <w:tc>
          <w:tcPr>
            <w:tcW w:w="9062" w:type="dxa"/>
          </w:tcPr>
          <w:p w14:paraId="14D74F9C" w14:textId="77777777" w:rsidR="00C1715F" w:rsidRPr="00C33425" w:rsidRDefault="00C1715F" w:rsidP="00C1715F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 w:rsidRPr="00C33425">
              <w:rPr>
                <w:b/>
                <w:color w:val="2E74B5" w:themeColor="accent1" w:themeShade="BF"/>
                <w:sz w:val="24"/>
              </w:rPr>
              <w:t>Objectifs</w:t>
            </w:r>
          </w:p>
          <w:p w14:paraId="2315CFC4" w14:textId="5834ECE8" w:rsidR="00C1715F" w:rsidRDefault="00C1715F" w:rsidP="00C1715F">
            <w:pPr>
              <w:jc w:val="center"/>
            </w:pPr>
            <w:r>
              <w:t>Ce stage vise à familiariser les participants à l’utilisation de logiciels de spéciation d’espèces</w:t>
            </w:r>
            <w:r w:rsidR="005E3D99">
              <w:t xml:space="preserve"> </w:t>
            </w:r>
            <w:r>
              <w:t xml:space="preserve">en solution et adsorbées. Il est structuré en </w:t>
            </w:r>
            <w:r w:rsidR="00335F28">
              <w:t>3</w:t>
            </w:r>
            <w:r>
              <w:t xml:space="preserve"> modules consistant en (1) une introduction à</w:t>
            </w:r>
            <w:r w:rsidR="005E3D99">
              <w:t xml:space="preserve"> </w:t>
            </w:r>
            <w:r>
              <w:t>l’utilisation du logiciel PHREEQC pour la spéciation des ions et des solides, (2) une présentation</w:t>
            </w:r>
            <w:r w:rsidR="005E3D99">
              <w:t xml:space="preserve"> </w:t>
            </w:r>
            <w:r>
              <w:t xml:space="preserve">des différents modèles de complexation de surface </w:t>
            </w:r>
            <w:r w:rsidR="00335F28">
              <w:t>et d’échanges d’ions, et (3) la simulation du transport réactif.</w:t>
            </w:r>
          </w:p>
          <w:p w14:paraId="16D05F9B" w14:textId="77777777" w:rsidR="00C1715F" w:rsidRDefault="00C1715F" w:rsidP="00C1715F">
            <w:pPr>
              <w:jc w:val="center"/>
            </w:pPr>
            <w:r>
              <w:t>Une partie importante de la formation sera consacrée à l’utilisation de logiciels.</w:t>
            </w:r>
          </w:p>
          <w:p w14:paraId="70C9D6A8" w14:textId="77777777" w:rsidR="00C1715F" w:rsidRDefault="00C1715F" w:rsidP="009F317C">
            <w:pPr>
              <w:jc w:val="center"/>
            </w:pPr>
          </w:p>
        </w:tc>
      </w:tr>
    </w:tbl>
    <w:p w14:paraId="5E894993" w14:textId="77777777" w:rsidR="00C33425" w:rsidRDefault="00C33425">
      <w:pPr>
        <w:spacing w:after="0"/>
        <w:jc w:val="center"/>
      </w:pPr>
    </w:p>
    <w:p w14:paraId="00EA3DEA" w14:textId="5DA42FCF" w:rsidR="00A12168" w:rsidRDefault="00A1216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B0E6F" wp14:editId="6917E0C1">
                <wp:simplePos x="0" y="0"/>
                <wp:positionH relativeFrom="column">
                  <wp:posOffset>-635</wp:posOffset>
                </wp:positionH>
                <wp:positionV relativeFrom="paragraph">
                  <wp:posOffset>90805</wp:posOffset>
                </wp:positionV>
                <wp:extent cx="5783580" cy="2910840"/>
                <wp:effectExtent l="0" t="0" r="26670" b="22860"/>
                <wp:wrapNone/>
                <wp:docPr id="1331808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91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07DD4" id="Rectangle 1" o:spid="_x0000_s1026" style="position:absolute;margin-left:-.05pt;margin-top:7.15pt;width:455.4pt;height:22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" filled="f" strokecolor="#4472c4 [3208]" strokeweight="1pt"/>
            </w:pict>
          </mc:Fallback>
        </mc:AlternateContent>
      </w:r>
    </w:p>
    <w:p w14:paraId="53D86C76" w14:textId="77777777"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  <w:r w:rsidRPr="00C33425">
        <w:rPr>
          <w:b/>
          <w:color w:val="2E74B5" w:themeColor="accent1" w:themeShade="BF"/>
          <w:sz w:val="24"/>
        </w:rPr>
        <w:t>Programme</w:t>
      </w:r>
    </w:p>
    <w:p w14:paraId="30C5BF76" w14:textId="2C5295FD" w:rsidR="00C33425" w:rsidRP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</w:p>
    <w:p w14:paraId="4B317346" w14:textId="55812D94" w:rsidR="00FB5E51" w:rsidRDefault="00FB5E51" w:rsidP="00C33425">
      <w:pPr>
        <w:rPr>
          <w:b/>
          <w:color w:val="2E74B5" w:themeColor="accent1" w:themeShade="BF"/>
        </w:rPr>
        <w:sectPr w:rsidR="00FB5E51" w:rsidSect="007B56F6">
          <w:pgSz w:w="11906" w:h="16838"/>
          <w:pgMar w:top="1417" w:right="1417" w:bottom="1417" w:left="1417" w:header="708" w:footer="708" w:gutter="0"/>
          <w:pgBorders w:offsetFrom="page">
            <w:top w:val="single" w:sz="4" w:space="24" w:color="DEEAF6" w:themeColor="accent1" w:themeTint="33"/>
            <w:left w:val="single" w:sz="4" w:space="24" w:color="DEEAF6" w:themeColor="accent1" w:themeTint="33"/>
            <w:bottom w:val="single" w:sz="4" w:space="24" w:color="DEEAF6" w:themeColor="accent1" w:themeTint="33"/>
            <w:right w:val="single" w:sz="4" w:space="24" w:color="DEEAF6" w:themeColor="accent1" w:themeTint="33"/>
          </w:pgBorders>
          <w:cols w:space="708"/>
          <w:docGrid w:linePitch="360"/>
        </w:sectPr>
      </w:pPr>
    </w:p>
    <w:tbl>
      <w:tblPr>
        <w:tblStyle w:val="Grilledutableau"/>
        <w:tblW w:w="96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083"/>
        <w:gridCol w:w="2551"/>
        <w:gridCol w:w="860"/>
      </w:tblGrid>
      <w:tr w:rsidR="00DE63B5" w14:paraId="489ED1F7" w14:textId="17193DDF" w:rsidTr="0033347B">
        <w:tc>
          <w:tcPr>
            <w:tcW w:w="3154" w:type="dxa"/>
            <w:shd w:val="clear" w:color="auto" w:fill="auto"/>
          </w:tcPr>
          <w:p w14:paraId="2D4EEE7B" w14:textId="1122B959" w:rsidR="00DE63B5" w:rsidRPr="005E3D99" w:rsidRDefault="00DE63B5" w:rsidP="00A5434B">
            <w:pPr>
              <w:jc w:val="center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Introduction à</w:t>
            </w:r>
          </w:p>
          <w:p w14:paraId="481FABA4" w14:textId="003EB060" w:rsidR="00DE63B5" w:rsidRPr="005E3D99" w:rsidRDefault="00DE63B5" w:rsidP="00A5434B">
            <w:pPr>
              <w:jc w:val="center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PHREEQC</w:t>
            </w:r>
            <w:r w:rsidR="00A12168">
              <w:rPr>
                <w:b/>
                <w:color w:val="2E74B5" w:themeColor="accent1" w:themeShade="BF"/>
              </w:rPr>
              <w:t xml:space="preserve"> (1,5 jours)</w:t>
            </w:r>
          </w:p>
          <w:p w14:paraId="02088CF2" w14:textId="77777777" w:rsidR="00DE63B5" w:rsidRDefault="00DE63B5" w:rsidP="00A5434B">
            <w:pPr>
              <w:jc w:val="center"/>
            </w:pPr>
          </w:p>
          <w:p w14:paraId="6E990CDD" w14:textId="4C2EB798" w:rsidR="00DE63B5" w:rsidRDefault="00DE63B5" w:rsidP="00DE63B5">
            <w:pPr>
              <w:pStyle w:val="Paragraphedeliste"/>
              <w:ind w:left="176" w:right="213"/>
            </w:pPr>
            <w:r>
              <w:t xml:space="preserve">- Rappels de chimie </w:t>
            </w:r>
            <w:r w:rsidR="0004740D">
              <w:t>des solutions</w:t>
            </w:r>
          </w:p>
          <w:p w14:paraId="1D13D5A4" w14:textId="1A9A47C0" w:rsidR="00DE63B5" w:rsidRDefault="00DE63B5" w:rsidP="00DE63B5">
            <w:pPr>
              <w:pStyle w:val="Paragraphedeliste"/>
              <w:ind w:left="176" w:right="461"/>
            </w:pPr>
            <w:r>
              <w:t>- Bases de données thermodynamiques</w:t>
            </w:r>
          </w:p>
          <w:p w14:paraId="1CF7B120" w14:textId="4C1BA4BC" w:rsidR="00DE63B5" w:rsidRDefault="00DE63B5" w:rsidP="00DE63B5">
            <w:pPr>
              <w:pStyle w:val="Paragraphedeliste"/>
              <w:ind w:left="176"/>
            </w:pPr>
            <w:r>
              <w:t>- Présentation des différents logiciels de spéciation</w:t>
            </w:r>
          </w:p>
          <w:p w14:paraId="5A6C1E06" w14:textId="2D280C42" w:rsidR="00DE63B5" w:rsidRDefault="00DE63B5" w:rsidP="00A12168">
            <w:pPr>
              <w:pStyle w:val="Paragraphedeliste"/>
              <w:ind w:left="176"/>
            </w:pPr>
            <w:r>
              <w:t xml:space="preserve">- Utilisation de PHREEQC : </w:t>
            </w:r>
            <w:r w:rsidR="00A12168">
              <w:t>b</w:t>
            </w:r>
            <w:r>
              <w:t xml:space="preserve">ases de données, fichiers </w:t>
            </w:r>
            <w:r w:rsidR="00A12168">
              <w:t>entrée et sortie, é</w:t>
            </w:r>
            <w:r>
              <w:t>quilibres en solution, précipitation, redox</w:t>
            </w:r>
          </w:p>
        </w:tc>
        <w:tc>
          <w:tcPr>
            <w:tcW w:w="3083" w:type="dxa"/>
            <w:shd w:val="clear" w:color="auto" w:fill="auto"/>
          </w:tcPr>
          <w:p w14:paraId="32602E77" w14:textId="77777777" w:rsidR="00DE63B5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Adsorption </w:t>
            </w:r>
          </w:p>
          <w:p w14:paraId="13BDABB0" w14:textId="77777777" w:rsidR="00A12168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/ échange d’ions</w:t>
            </w:r>
            <w:r w:rsidR="00A12168">
              <w:rPr>
                <w:b/>
                <w:color w:val="2E74B5" w:themeColor="accent1" w:themeShade="BF"/>
              </w:rPr>
              <w:t xml:space="preserve"> </w:t>
            </w:r>
          </w:p>
          <w:p w14:paraId="00C8B7EE" w14:textId="4033868D" w:rsidR="00DE63B5" w:rsidRPr="005E3D99" w:rsidRDefault="00A12168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(1,5 jours)</w:t>
            </w:r>
          </w:p>
          <w:p w14:paraId="2F44E095" w14:textId="21536501" w:rsidR="00DE63B5" w:rsidRDefault="00DE63B5" w:rsidP="00A5434B">
            <w:pPr>
              <w:jc w:val="center"/>
            </w:pPr>
          </w:p>
          <w:p w14:paraId="6706EF22" w14:textId="6615DCFE" w:rsidR="00DE63B5" w:rsidRDefault="00DE63B5" w:rsidP="00DE63B5">
            <w:pPr>
              <w:pStyle w:val="Paragraphedeliste"/>
              <w:ind w:left="280"/>
            </w:pPr>
            <w:r>
              <w:t>- Complexation de surface</w:t>
            </w:r>
          </w:p>
          <w:p w14:paraId="4D4348A4" w14:textId="02E21163" w:rsidR="00DE63B5" w:rsidRDefault="00DE63B5" w:rsidP="00DE63B5">
            <w:pPr>
              <w:pStyle w:val="Paragraphedeliste"/>
              <w:ind w:left="280"/>
            </w:pPr>
            <w:r>
              <w:t>- Notions de charge/potentiel de surface, groupes réactifs, double couche électrostatique</w:t>
            </w:r>
          </w:p>
          <w:p w14:paraId="006873AC" w14:textId="61CBF261" w:rsidR="00DE63B5" w:rsidRDefault="00DE63B5" w:rsidP="00DE63B5">
            <w:pPr>
              <w:pStyle w:val="Paragraphedeliste"/>
              <w:ind w:left="280"/>
            </w:pPr>
            <w:r>
              <w:t>- Potentiel zêta</w:t>
            </w:r>
          </w:p>
          <w:p w14:paraId="7709D4A5" w14:textId="59BFEC01" w:rsidR="00DE63B5" w:rsidRDefault="00DE63B5" w:rsidP="00DE63B5">
            <w:pPr>
              <w:pStyle w:val="Paragraphedeliste"/>
              <w:ind w:left="280"/>
            </w:pPr>
            <w:r>
              <w:t>- Réactivité des argiles</w:t>
            </w:r>
            <w:r w:rsidR="0033347B">
              <w:t xml:space="preserve"> et des résines</w:t>
            </w:r>
          </w:p>
          <w:p w14:paraId="152B3782" w14:textId="07B4A0A0" w:rsidR="00A12168" w:rsidRDefault="00A12168" w:rsidP="00DE63B5">
            <w:pPr>
              <w:pStyle w:val="Paragraphedeliste"/>
              <w:ind w:left="280"/>
            </w:pPr>
            <w:r>
              <w:t>- formalisme PHREEQC</w:t>
            </w:r>
          </w:p>
          <w:p w14:paraId="422A4DA9" w14:textId="77777777" w:rsidR="00DE63B5" w:rsidRDefault="00DE63B5" w:rsidP="00A5434B">
            <w:pPr>
              <w:jc w:val="center"/>
            </w:pPr>
          </w:p>
        </w:tc>
        <w:tc>
          <w:tcPr>
            <w:tcW w:w="2551" w:type="dxa"/>
          </w:tcPr>
          <w:p w14:paraId="621F949C" w14:textId="77777777" w:rsidR="00A12168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Transport réactif</w:t>
            </w:r>
            <w:r w:rsidR="00A12168">
              <w:rPr>
                <w:b/>
                <w:color w:val="2E74B5" w:themeColor="accent1" w:themeShade="BF"/>
              </w:rPr>
              <w:t xml:space="preserve"> </w:t>
            </w:r>
          </w:p>
          <w:p w14:paraId="3F010180" w14:textId="6E7037F5" w:rsidR="00DE63B5" w:rsidRDefault="00A12168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(1 jour)</w:t>
            </w:r>
          </w:p>
          <w:p w14:paraId="2AFDB195" w14:textId="77777777" w:rsidR="00DE63B5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</w:p>
          <w:p w14:paraId="480655FC" w14:textId="77777777" w:rsidR="00DE63B5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</w:p>
          <w:p w14:paraId="361D8D99" w14:textId="79E65D74" w:rsidR="00DE63B5" w:rsidRDefault="00DE63B5" w:rsidP="00DE63B5">
            <w:r>
              <w:t>- Equation du transport et paramètres critiques</w:t>
            </w:r>
          </w:p>
          <w:p w14:paraId="26CDF363" w14:textId="09690746" w:rsidR="00DE63B5" w:rsidRDefault="00DE63B5" w:rsidP="00DE63B5">
            <w:r>
              <w:t>- Couplage réaction-transport</w:t>
            </w:r>
          </w:p>
          <w:p w14:paraId="45FED769" w14:textId="2B270DC5" w:rsidR="00DE63B5" w:rsidRDefault="00DE63B5" w:rsidP="00DE63B5">
            <w:r>
              <w:t xml:space="preserve">- Modélisation dans PHREEQC </w:t>
            </w:r>
          </w:p>
          <w:p w14:paraId="5C9AA4B2" w14:textId="23CB842D" w:rsidR="00DE63B5" w:rsidRDefault="00DE63B5" w:rsidP="00DE63B5">
            <w:r>
              <w:t xml:space="preserve">- Exemples d’application </w:t>
            </w:r>
          </w:p>
          <w:p w14:paraId="3E674743" w14:textId="619263AA" w:rsidR="00DE63B5" w:rsidRPr="005E3D99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60" w:type="dxa"/>
          </w:tcPr>
          <w:p w14:paraId="1B25B879" w14:textId="77777777" w:rsidR="00DE63B5" w:rsidRPr="005E3D99" w:rsidRDefault="00DE63B5" w:rsidP="00A5434B">
            <w:pPr>
              <w:ind w:left="943" w:hanging="943"/>
              <w:jc w:val="center"/>
              <w:rPr>
                <w:b/>
                <w:color w:val="2E74B5" w:themeColor="accent1" w:themeShade="BF"/>
              </w:rPr>
            </w:pPr>
          </w:p>
        </w:tc>
      </w:tr>
    </w:tbl>
    <w:p w14:paraId="5A7C9E01" w14:textId="77777777" w:rsidR="00A5434B" w:rsidRDefault="00A5434B" w:rsidP="0003034A">
      <w:pPr>
        <w:rPr>
          <w:b/>
          <w:color w:val="0070C0"/>
        </w:rPr>
      </w:pPr>
    </w:p>
    <w:tbl>
      <w:tblPr>
        <w:tblStyle w:val="Grilledutableau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3034A" w14:paraId="08D45539" w14:textId="77777777" w:rsidTr="0004740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FE9C4F4" w14:textId="4034C49C" w:rsidR="0003034A" w:rsidRPr="0003034A" w:rsidRDefault="0004740D" w:rsidP="0004740D">
            <w:pPr>
              <w:ind w:left="30" w:hanging="3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Pour plus de r</w:t>
            </w:r>
            <w:r w:rsidR="0003034A" w:rsidRPr="0003034A">
              <w:rPr>
                <w:b/>
                <w:color w:val="0070C0"/>
              </w:rPr>
              <w:t>enseignements</w:t>
            </w:r>
            <w:r>
              <w:rPr>
                <w:b/>
                <w:color w:val="0070C0"/>
              </w:rPr>
              <w:t>, contactez :</w:t>
            </w:r>
          </w:p>
          <w:p w14:paraId="16357E6A" w14:textId="72DBE6C2" w:rsidR="0003034A" w:rsidRDefault="0003034A" w:rsidP="0004740D">
            <w:pPr>
              <w:ind w:left="30" w:hanging="30"/>
              <w:jc w:val="center"/>
            </w:pPr>
            <w:r>
              <w:t>Grégory Lefèvre</w:t>
            </w:r>
          </w:p>
          <w:p w14:paraId="1D3F5DB6" w14:textId="7930A82B" w:rsidR="006A14FF" w:rsidRDefault="006A14FF" w:rsidP="0004740D">
            <w:pPr>
              <w:ind w:left="30" w:hanging="30"/>
              <w:jc w:val="center"/>
            </w:pPr>
            <w:hyperlink r:id="rId7" w:history="1">
              <w:r w:rsidRPr="00FB04FD">
                <w:rPr>
                  <w:rStyle w:val="Lienhypertexte"/>
                </w:rPr>
                <w:t>gregory.lefevre@chimieparistech.psl.eu</w:t>
              </w:r>
            </w:hyperlink>
          </w:p>
          <w:p w14:paraId="22FAC13F" w14:textId="2AD4F25C" w:rsidR="00FB5E51" w:rsidRDefault="00FB5E51" w:rsidP="009503A3"/>
        </w:tc>
      </w:tr>
    </w:tbl>
    <w:p w14:paraId="54D61C2F" w14:textId="4D61C8C9" w:rsidR="001C7AFD" w:rsidRPr="001C7AFD" w:rsidRDefault="001C7AFD" w:rsidP="001C7AFD">
      <w:pPr>
        <w:jc w:val="center"/>
        <w:rPr>
          <w:color w:val="2E74B5" w:themeColor="accent1" w:themeShade="BF"/>
          <w:sz w:val="28"/>
        </w:rPr>
      </w:pPr>
      <w:r w:rsidRPr="001C7AFD">
        <w:rPr>
          <w:color w:val="2E74B5" w:themeColor="accent1" w:themeShade="BF"/>
          <w:sz w:val="28"/>
        </w:rPr>
        <w:lastRenderedPageBreak/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</w:p>
    <w:p w14:paraId="350424EC" w14:textId="77777777" w:rsidR="001C7AFD" w:rsidRPr="005E3D99" w:rsidRDefault="001C7AFD" w:rsidP="001C7AFD">
      <w:pPr>
        <w:jc w:val="center"/>
        <w:rPr>
          <w:b/>
          <w:color w:val="2E74B5" w:themeColor="accent1" w:themeShade="BF"/>
          <w:sz w:val="28"/>
        </w:rPr>
      </w:pPr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</w:p>
    <w:p w14:paraId="7B093025" w14:textId="65A7454F" w:rsidR="001C7AFD" w:rsidRDefault="001C7AFD" w:rsidP="001C7AFD">
      <w:pPr>
        <w:jc w:val="center"/>
      </w:pPr>
      <w:r>
        <w:t xml:space="preserve">À envoyer </w:t>
      </w:r>
      <w:r w:rsidRPr="00E506BE">
        <w:rPr>
          <w:b/>
        </w:rPr>
        <w:t xml:space="preserve">avant le </w:t>
      </w:r>
      <w:r w:rsidR="00A5434B">
        <w:rPr>
          <w:b/>
        </w:rPr>
        <w:t>1er</w:t>
      </w:r>
      <w:r w:rsidR="002F10C8">
        <w:rPr>
          <w:b/>
        </w:rPr>
        <w:t xml:space="preserve"> mars 202</w:t>
      </w:r>
      <w:r w:rsidR="0033347B">
        <w:rPr>
          <w:b/>
        </w:rPr>
        <w:t>5</w:t>
      </w:r>
    </w:p>
    <w:p w14:paraId="2A890769" w14:textId="77777777" w:rsidR="001C7AFD" w:rsidRPr="008542DC" w:rsidRDefault="0003034A" w:rsidP="001C7AFD">
      <w:pPr>
        <w:jc w:val="center"/>
        <w:rPr>
          <w:i/>
        </w:rPr>
      </w:pPr>
      <w:r>
        <w:t xml:space="preserve">à </w:t>
      </w:r>
      <w:r w:rsidR="001C7AFD">
        <w:t xml:space="preserve"> </w:t>
      </w:r>
      <w:r w:rsidR="001C7AFD" w:rsidRPr="008542DC">
        <w:rPr>
          <w:i/>
        </w:rPr>
        <w:t>gregory</w:t>
      </w:r>
      <w:r w:rsidR="001C0292" w:rsidRPr="008542DC">
        <w:rPr>
          <w:i/>
        </w:rPr>
        <w:t>.</w:t>
      </w:r>
      <w:r w:rsidR="001C7AFD" w:rsidRPr="008542DC">
        <w:rPr>
          <w:i/>
        </w:rPr>
        <w:t>lefevre@</w:t>
      </w:r>
      <w:r w:rsidR="006B15CD" w:rsidRPr="006B15CD">
        <w:rPr>
          <w:i/>
        </w:rPr>
        <w:t>chimieparistech.psl.eu</w:t>
      </w:r>
    </w:p>
    <w:p w14:paraId="65EE064F" w14:textId="77777777" w:rsidR="0003034A" w:rsidRDefault="0003034A" w:rsidP="001C7AFD"/>
    <w:p w14:paraId="7774E341" w14:textId="77777777" w:rsidR="001C7AFD" w:rsidRDefault="001C7AFD" w:rsidP="001C7AFD">
      <w:r>
        <w:t>Nom :</w:t>
      </w:r>
      <w:r>
        <w:tab/>
      </w:r>
      <w:r>
        <w:tab/>
      </w:r>
      <w:r>
        <w:tab/>
      </w:r>
      <w:r>
        <w:tab/>
        <w:t>Prénom :</w:t>
      </w:r>
      <w:r>
        <w:tab/>
      </w:r>
    </w:p>
    <w:p w14:paraId="5A3F3DA8" w14:textId="77777777" w:rsidR="001C7AFD" w:rsidRDefault="001C7AFD" w:rsidP="001C7AFD"/>
    <w:p w14:paraId="472D3869" w14:textId="77777777" w:rsidR="001C7AFD" w:rsidRDefault="001C7AFD" w:rsidP="001C7AFD">
      <w:r>
        <w:t>Tél. :</w:t>
      </w:r>
      <w:r>
        <w:tab/>
      </w:r>
      <w:r>
        <w:tab/>
        <w:t xml:space="preserve"> </w:t>
      </w:r>
      <w:r>
        <w:tab/>
      </w:r>
      <w:r>
        <w:tab/>
        <w:t xml:space="preserve">Fax : </w:t>
      </w:r>
      <w:r>
        <w:tab/>
      </w:r>
      <w:r>
        <w:tab/>
      </w:r>
      <w:r>
        <w:tab/>
        <w:t xml:space="preserve">E-mail : </w:t>
      </w:r>
    </w:p>
    <w:p w14:paraId="2CDA00F1" w14:textId="77777777" w:rsidR="001C7AFD" w:rsidRDefault="001C7AFD" w:rsidP="001C7AFD"/>
    <w:p w14:paraId="4262ED80" w14:textId="77777777" w:rsidR="001C0292" w:rsidRDefault="001C7AFD" w:rsidP="001C7AFD">
      <w:r>
        <w:t xml:space="preserve">Adresse : </w:t>
      </w:r>
      <w:r>
        <w:tab/>
      </w:r>
    </w:p>
    <w:p w14:paraId="683E1A12" w14:textId="77777777" w:rsidR="0093352F" w:rsidRDefault="001C7AFD" w:rsidP="001C7AFD">
      <w:r>
        <w:tab/>
      </w:r>
      <w:r>
        <w:tab/>
      </w:r>
    </w:p>
    <w:p w14:paraId="317B04D3" w14:textId="5FC242A7" w:rsidR="0093352F" w:rsidRDefault="0093352F" w:rsidP="0093352F">
      <w:r>
        <w:t xml:space="preserve">Coordonnées de la personne en charge </w:t>
      </w:r>
      <w:r w:rsidR="009C7190">
        <w:t>du paiement</w:t>
      </w:r>
      <w:r>
        <w:t xml:space="preserve"> (gestionnaire d’unité, ou Service Formation Permanente, …)</w:t>
      </w:r>
      <w:r w:rsidR="00BB0816">
        <w:t xml:space="preserve"> (</w:t>
      </w:r>
      <w:r w:rsidR="00BB0816" w:rsidRPr="00D01560">
        <w:rPr>
          <w:color w:val="FF0000"/>
          <w:u w:val="single"/>
        </w:rPr>
        <w:t>obligatoire</w:t>
      </w:r>
      <w:r w:rsidR="00BB0816">
        <w:t>)</w:t>
      </w:r>
      <w:r>
        <w:t> :</w:t>
      </w:r>
    </w:p>
    <w:p w14:paraId="5774D5C9" w14:textId="77777777" w:rsidR="0093352F" w:rsidRDefault="0093352F" w:rsidP="001C7AFD"/>
    <w:p w14:paraId="383A76A2" w14:textId="14E9A880" w:rsidR="0093352F" w:rsidRDefault="0093352F" w:rsidP="001C7AFD">
      <w:r>
        <w:rPr>
          <w:i/>
        </w:rPr>
        <w:t>Tarif</w:t>
      </w:r>
      <w:r w:rsidR="0004740D">
        <w:rPr>
          <w:i/>
        </w:rPr>
        <w:t xml:space="preserve"> pour le 4 jours </w:t>
      </w:r>
      <w:r w:rsidR="00022BA6">
        <w:rPr>
          <w:i/>
        </w:rPr>
        <w:t>(</w:t>
      </w:r>
      <w:r>
        <w:rPr>
          <w:i/>
        </w:rPr>
        <w:t>Repas de midi inclus</w:t>
      </w:r>
      <w:r w:rsidR="008542DC">
        <w:rPr>
          <w:i/>
        </w:rPr>
        <w:t>)</w:t>
      </w:r>
    </w:p>
    <w:tbl>
      <w:tblPr>
        <w:tblStyle w:val="TableauGrille1Clair-Accentuation51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DE63B5" w14:paraId="4E4B11C0" w14:textId="77777777" w:rsidTr="004D7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0BF5C9F" w14:textId="77777777" w:rsidR="00DE63B5" w:rsidRDefault="00DE63B5" w:rsidP="004D76B1">
            <w:pPr>
              <w:jc w:val="center"/>
            </w:pPr>
            <w:r>
              <w:t>Industriel</w:t>
            </w:r>
          </w:p>
        </w:tc>
        <w:tc>
          <w:tcPr>
            <w:tcW w:w="2595" w:type="dxa"/>
          </w:tcPr>
          <w:p w14:paraId="58512AC2" w14:textId="77777777" w:rsidR="00DE63B5" w:rsidRDefault="00DE63B5" w:rsidP="004D7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Secteur public</w:t>
            </w:r>
          </w:p>
        </w:tc>
        <w:tc>
          <w:tcPr>
            <w:tcW w:w="2595" w:type="dxa"/>
          </w:tcPr>
          <w:p w14:paraId="3CE23D01" w14:textId="77777777" w:rsidR="00DE63B5" w:rsidRDefault="00DE63B5" w:rsidP="004D7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 permanent* secteur public</w:t>
            </w:r>
          </w:p>
        </w:tc>
      </w:tr>
      <w:tr w:rsidR="00DE63B5" w14:paraId="3B837C94" w14:textId="77777777" w:rsidTr="004D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9F7D2ED" w14:textId="691A7C99" w:rsidR="00DE63B5" w:rsidRPr="00D7748C" w:rsidRDefault="00D86288" w:rsidP="004D76B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="00DE63B5" w:rsidRPr="00D7748C">
              <w:rPr>
                <w:b w:val="0"/>
                <w:bCs w:val="0"/>
              </w:rPr>
              <w:t>00</w:t>
            </w:r>
            <w:r w:rsidR="0004740D">
              <w:rPr>
                <w:b w:val="0"/>
                <w:bCs w:val="0"/>
              </w:rPr>
              <w:t>€</w:t>
            </w:r>
          </w:p>
        </w:tc>
        <w:tc>
          <w:tcPr>
            <w:tcW w:w="2595" w:type="dxa"/>
          </w:tcPr>
          <w:p w14:paraId="73639A26" w14:textId="1A65929C" w:rsidR="00DE63B5" w:rsidRDefault="00D86288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  <w:r w:rsidR="00DE63B5">
              <w:t>0</w:t>
            </w:r>
            <w:r w:rsidR="0004740D">
              <w:t>€</w:t>
            </w:r>
          </w:p>
        </w:tc>
        <w:tc>
          <w:tcPr>
            <w:tcW w:w="2595" w:type="dxa"/>
          </w:tcPr>
          <w:p w14:paraId="4F1D8BA8" w14:textId="47A67E79" w:rsidR="00DE63B5" w:rsidRDefault="00D86288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="00DE63B5">
              <w:t>00</w:t>
            </w:r>
            <w:r w:rsidR="0004740D">
              <w:t>€</w:t>
            </w:r>
          </w:p>
        </w:tc>
      </w:tr>
    </w:tbl>
    <w:p w14:paraId="169F70B5" w14:textId="6A4E8F33" w:rsidR="0093352F" w:rsidRDefault="0093352F" w:rsidP="0093352F">
      <w:pPr>
        <w:rPr>
          <w:i/>
        </w:rPr>
      </w:pPr>
      <w:r>
        <w:rPr>
          <w:i/>
        </w:rPr>
        <w:t>*</w:t>
      </w:r>
      <w:r w:rsidR="0004740D">
        <w:rPr>
          <w:i/>
        </w:rPr>
        <w:t>R</w:t>
      </w:r>
      <w:r w:rsidR="009C6F5E">
        <w:rPr>
          <w:i/>
        </w:rPr>
        <w:t xml:space="preserve">éservé aux </w:t>
      </w:r>
      <w:r>
        <w:rPr>
          <w:i/>
        </w:rPr>
        <w:t>doctorant</w:t>
      </w:r>
      <w:r w:rsidR="009C6F5E">
        <w:rPr>
          <w:i/>
        </w:rPr>
        <w:t>s</w:t>
      </w:r>
      <w:r w:rsidR="001C1517">
        <w:rPr>
          <w:i/>
        </w:rPr>
        <w:t xml:space="preserve"> ou</w:t>
      </w:r>
      <w:r>
        <w:rPr>
          <w:i/>
        </w:rPr>
        <w:t xml:space="preserve"> post-doctorant</w:t>
      </w:r>
      <w:r w:rsidR="009C6F5E">
        <w:rPr>
          <w:i/>
        </w:rPr>
        <w:t>s (</w:t>
      </w:r>
      <w:r>
        <w:rPr>
          <w:i/>
        </w:rPr>
        <w:t>sur justificatif)</w:t>
      </w:r>
    </w:p>
    <w:p w14:paraId="6E6D1952" w14:textId="40A6EDC6" w:rsidR="005579C5" w:rsidRDefault="0004740D" w:rsidP="001E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35"/>
      </w:pPr>
      <w:r>
        <w:t>Tarif correspondant au statut</w:t>
      </w:r>
      <w:r w:rsidR="008542DC">
        <w:t> :</w:t>
      </w:r>
    </w:p>
    <w:p w14:paraId="5EFCA4FC" w14:textId="77777777" w:rsidR="001E5B00" w:rsidRDefault="001E5B00" w:rsidP="001E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35"/>
      </w:pPr>
    </w:p>
    <w:p w14:paraId="77AA6E5D" w14:textId="77777777" w:rsidR="00A5434B" w:rsidRDefault="00A5434B" w:rsidP="001C7AFD">
      <w:pPr>
        <w:rPr>
          <w:i/>
          <w:iCs/>
          <w:u w:val="single"/>
        </w:rPr>
      </w:pPr>
    </w:p>
    <w:p w14:paraId="432BD77A" w14:textId="47B4A1A7" w:rsidR="001C7AFD" w:rsidRPr="00B62363" w:rsidRDefault="001C7AFD" w:rsidP="001C7AFD">
      <w:pPr>
        <w:rPr>
          <w:i/>
          <w:iCs/>
          <w:u w:val="single"/>
        </w:rPr>
      </w:pPr>
      <w:r w:rsidRPr="00B62363">
        <w:rPr>
          <w:i/>
          <w:iCs/>
          <w:u w:val="single"/>
        </w:rPr>
        <w:t>NB</w:t>
      </w:r>
    </w:p>
    <w:p w14:paraId="03F640FC" w14:textId="77777777" w:rsidR="001C7AFD" w:rsidRDefault="001C7AFD" w:rsidP="001C7AFD">
      <w:pPr>
        <w:rPr>
          <w:i/>
        </w:rPr>
      </w:pPr>
      <w:r>
        <w:rPr>
          <w:i/>
        </w:rPr>
        <w:t xml:space="preserve">1. </w:t>
      </w:r>
      <w:r w:rsidRPr="00481881">
        <w:rPr>
          <w:i/>
        </w:rPr>
        <w:t>Un bon de commande sera à envoyer</w:t>
      </w:r>
      <w:r>
        <w:rPr>
          <w:i/>
        </w:rPr>
        <w:t xml:space="preserve"> seulement </w:t>
      </w:r>
      <w:r w:rsidRPr="00481881">
        <w:rPr>
          <w:i/>
        </w:rPr>
        <w:t xml:space="preserve">après </w:t>
      </w:r>
      <w:r>
        <w:rPr>
          <w:i/>
        </w:rPr>
        <w:t xml:space="preserve">une </w:t>
      </w:r>
      <w:r w:rsidRPr="00481881">
        <w:rPr>
          <w:i/>
        </w:rPr>
        <w:t xml:space="preserve">confirmation </w:t>
      </w:r>
      <w:r>
        <w:rPr>
          <w:i/>
        </w:rPr>
        <w:t xml:space="preserve">de notre part </w:t>
      </w:r>
      <w:r w:rsidRPr="00481881">
        <w:rPr>
          <w:i/>
        </w:rPr>
        <w:t>de l’inscription</w:t>
      </w:r>
      <w:r>
        <w:rPr>
          <w:i/>
        </w:rPr>
        <w:t xml:space="preserve">. </w:t>
      </w:r>
    </w:p>
    <w:p w14:paraId="1927B8F9" w14:textId="77777777" w:rsidR="001C7AFD" w:rsidRDefault="001C7AFD" w:rsidP="001C7AFD">
      <w:pPr>
        <w:rPr>
          <w:i/>
        </w:rPr>
      </w:pPr>
      <w:r>
        <w:rPr>
          <w:i/>
        </w:rPr>
        <w:t>2. Le service de la formation permanente de votre employeur prend habituellement en charge les frais d’inscription, n’hésitez pas à le contacter.</w:t>
      </w:r>
    </w:p>
    <w:p w14:paraId="23EFEF7E" w14:textId="1442638E" w:rsidR="001C7AFD" w:rsidRDefault="001C7AFD" w:rsidP="0003034A">
      <w:pPr>
        <w:rPr>
          <w:i/>
        </w:rPr>
      </w:pPr>
      <w:r>
        <w:rPr>
          <w:i/>
          <w:iCs/>
        </w:rPr>
        <w:t xml:space="preserve">3. Pour préparer votre déplacement, les </w:t>
      </w:r>
      <w:r w:rsidRPr="00C825A6">
        <w:rPr>
          <w:i/>
          <w:iCs/>
        </w:rPr>
        <w:t>h</w:t>
      </w:r>
      <w:r w:rsidRPr="00C825A6">
        <w:rPr>
          <w:i/>
        </w:rPr>
        <w:t>oraires des journées </w:t>
      </w:r>
      <w:r>
        <w:rPr>
          <w:i/>
        </w:rPr>
        <w:t xml:space="preserve">seront </w:t>
      </w:r>
      <w:r w:rsidRPr="00C825A6">
        <w:rPr>
          <w:i/>
        </w:rPr>
        <w:t>: 9h00 – 1</w:t>
      </w:r>
      <w:r w:rsidR="00E47698">
        <w:rPr>
          <w:i/>
        </w:rPr>
        <w:t>7h</w:t>
      </w:r>
      <w:r w:rsidR="002247BF">
        <w:rPr>
          <w:i/>
        </w:rPr>
        <w:t>0</w:t>
      </w:r>
      <w:r w:rsidRPr="00C825A6">
        <w:rPr>
          <w:i/>
        </w:rPr>
        <w:t>0</w:t>
      </w:r>
      <w:r w:rsidR="006B15CD">
        <w:rPr>
          <w:i/>
        </w:rPr>
        <w:t xml:space="preserve"> </w:t>
      </w:r>
    </w:p>
    <w:p w14:paraId="6E77B2FD" w14:textId="5289046F" w:rsidR="00A5434B" w:rsidRPr="00A5434B" w:rsidRDefault="00A5434B" w:rsidP="0003034A">
      <w:pPr>
        <w:rPr>
          <w:color w:val="FF0000"/>
        </w:rPr>
      </w:pPr>
    </w:p>
    <w:sectPr w:rsidR="00A5434B" w:rsidRPr="00A5434B" w:rsidSect="007B56F6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1" w:themeTint="33"/>
        <w:left w:val="single" w:sz="4" w:space="24" w:color="DEEAF6" w:themeColor="accent1" w:themeTint="33"/>
        <w:bottom w:val="single" w:sz="4" w:space="24" w:color="DEEAF6" w:themeColor="accent1" w:themeTint="33"/>
        <w:right w:val="single" w:sz="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43DB"/>
    <w:multiLevelType w:val="hybridMultilevel"/>
    <w:tmpl w:val="DD2C94C6"/>
    <w:lvl w:ilvl="0" w:tplc="8B6059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5F"/>
    <w:rsid w:val="00022BA6"/>
    <w:rsid w:val="0003034A"/>
    <w:rsid w:val="0004740D"/>
    <w:rsid w:val="000E3CBF"/>
    <w:rsid w:val="001104BA"/>
    <w:rsid w:val="0015587A"/>
    <w:rsid w:val="00181A2A"/>
    <w:rsid w:val="001C0292"/>
    <w:rsid w:val="001C1517"/>
    <w:rsid w:val="001C7AFD"/>
    <w:rsid w:val="001E5B00"/>
    <w:rsid w:val="002247BF"/>
    <w:rsid w:val="002F10C8"/>
    <w:rsid w:val="0033347B"/>
    <w:rsid w:val="00335F28"/>
    <w:rsid w:val="0036033E"/>
    <w:rsid w:val="0039691E"/>
    <w:rsid w:val="003A7530"/>
    <w:rsid w:val="003E13C1"/>
    <w:rsid w:val="004D76B1"/>
    <w:rsid w:val="0052267A"/>
    <w:rsid w:val="00530F6B"/>
    <w:rsid w:val="005579C5"/>
    <w:rsid w:val="005E3D99"/>
    <w:rsid w:val="005F19D9"/>
    <w:rsid w:val="006139F9"/>
    <w:rsid w:val="00632131"/>
    <w:rsid w:val="00671414"/>
    <w:rsid w:val="00671E29"/>
    <w:rsid w:val="00682009"/>
    <w:rsid w:val="006A14FF"/>
    <w:rsid w:val="006B15CD"/>
    <w:rsid w:val="007B56F6"/>
    <w:rsid w:val="007C1871"/>
    <w:rsid w:val="007D6A8D"/>
    <w:rsid w:val="007E10CB"/>
    <w:rsid w:val="00846EF3"/>
    <w:rsid w:val="008542DC"/>
    <w:rsid w:val="008618A3"/>
    <w:rsid w:val="00865DCF"/>
    <w:rsid w:val="00907AD1"/>
    <w:rsid w:val="0093352F"/>
    <w:rsid w:val="009503A3"/>
    <w:rsid w:val="009B3EEC"/>
    <w:rsid w:val="009C6F5E"/>
    <w:rsid w:val="009C7190"/>
    <w:rsid w:val="009F317C"/>
    <w:rsid w:val="00A12168"/>
    <w:rsid w:val="00A45ECA"/>
    <w:rsid w:val="00A50F6B"/>
    <w:rsid w:val="00A5434B"/>
    <w:rsid w:val="00AA2747"/>
    <w:rsid w:val="00BB0816"/>
    <w:rsid w:val="00BC3C4C"/>
    <w:rsid w:val="00BF2D0E"/>
    <w:rsid w:val="00C1715F"/>
    <w:rsid w:val="00C33425"/>
    <w:rsid w:val="00CF1DCD"/>
    <w:rsid w:val="00D00187"/>
    <w:rsid w:val="00D01560"/>
    <w:rsid w:val="00D70E44"/>
    <w:rsid w:val="00D7748C"/>
    <w:rsid w:val="00D85CB4"/>
    <w:rsid w:val="00D86288"/>
    <w:rsid w:val="00DE63B5"/>
    <w:rsid w:val="00E31CA4"/>
    <w:rsid w:val="00E47698"/>
    <w:rsid w:val="00E9694E"/>
    <w:rsid w:val="00EA5409"/>
    <w:rsid w:val="00EB25E5"/>
    <w:rsid w:val="00EC2996"/>
    <w:rsid w:val="00F61E6C"/>
    <w:rsid w:val="00FB5E51"/>
    <w:rsid w:val="00FC24D2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9921"/>
  <w15:docId w15:val="{9C774955-7282-45D2-A9EA-2FE40EC8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034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996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8618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618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A5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gory.lefevre@chimieparistech.ps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mieparistech.psl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Melinda Toen</cp:lastModifiedBy>
  <cp:revision>2</cp:revision>
  <cp:lastPrinted>2016-01-21T10:50:00Z</cp:lastPrinted>
  <dcterms:created xsi:type="dcterms:W3CDTF">2025-01-29T10:58:00Z</dcterms:created>
  <dcterms:modified xsi:type="dcterms:W3CDTF">2025-01-29T10:58:00Z</dcterms:modified>
</cp:coreProperties>
</file>